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Supporting information</w:t>
      </w:r>
    </w:p>
    <w:p>
      <w:pPr>
        <w:rPr>
          <w:rFonts w:ascii="Times New Roman" w:hAnsi="Times New Roman"/>
          <w:b/>
          <w:sz w:val="32"/>
          <w:szCs w:val="32"/>
        </w:rPr>
      </w:pPr>
    </w:p>
    <w:p>
      <w:pPr>
        <w:spacing w:line="480" w:lineRule="auto"/>
        <w:jc w:val="left"/>
        <w:rPr>
          <w:rFonts w:ascii="Times New Roman" w:hAnsi="Times New Roman" w:cs="Times New Roman"/>
          <w:bCs/>
          <w:sz w:val="44"/>
          <w:szCs w:val="44"/>
        </w:rPr>
      </w:pPr>
      <w:r>
        <w:rPr>
          <w:rFonts w:ascii="Times New Roman" w:hAnsi="Times New Roman" w:cs="Times New Roman"/>
          <w:bCs/>
          <w:sz w:val="44"/>
          <w:szCs w:val="44"/>
        </w:rPr>
        <w:t xml:space="preserve">Synergistic inhibition of </w:t>
      </w:r>
      <w:bookmarkStart w:id="0" w:name="_Hlk24201363"/>
      <w:r>
        <w:rPr>
          <w:rFonts w:ascii="Times New Roman" w:hAnsi="Times New Roman" w:cs="Times New Roman"/>
          <w:bCs/>
          <w:sz w:val="44"/>
          <w:szCs w:val="44"/>
        </w:rPr>
        <w:t>metastatic breast cancer</w:t>
      </w:r>
      <w:bookmarkEnd w:id="0"/>
      <w:r>
        <w:rPr>
          <w:rFonts w:ascii="Times New Roman" w:hAnsi="Times New Roman" w:cs="Times New Roman"/>
          <w:bCs/>
          <w:sz w:val="44"/>
          <w:szCs w:val="44"/>
        </w:rPr>
        <w:t xml:space="preserve"> by dual-chemotherapy with excipient-free rhein/DOX nanodispersions</w:t>
      </w:r>
    </w:p>
    <w:p>
      <w:pPr>
        <w:spacing w:line="480" w:lineRule="auto"/>
        <w:jc w:val="left"/>
        <w:rPr>
          <w:rFonts w:ascii="Times New Roman" w:hAnsi="Times New Roman"/>
          <w:b/>
          <w:sz w:val="28"/>
          <w:szCs w:val="28"/>
        </w:rPr>
      </w:pPr>
    </w:p>
    <w:p>
      <w:pPr>
        <w:spacing w:line="480" w:lineRule="auto"/>
        <w:rPr>
          <w:rFonts w:ascii="Times New Roman" w:hAnsi="Times New Roman" w:eastAsia="宋体"/>
          <w:i/>
          <w:iCs/>
          <w:color w:val="242021"/>
          <w:sz w:val="26"/>
          <w:szCs w:val="26"/>
        </w:rPr>
      </w:pPr>
      <w:r>
        <w:rPr>
          <w:rFonts w:ascii="Times New Roman" w:hAnsi="Times New Roman" w:eastAsia="宋体"/>
          <w:i/>
          <w:iCs/>
          <w:color w:val="242021"/>
          <w:sz w:val="26"/>
          <w:szCs w:val="26"/>
        </w:rPr>
        <w:t>Ruoning Wang,</w:t>
      </w:r>
      <w:bookmarkStart w:id="1" w:name="_Hlk20331158"/>
      <w:bookmarkStart w:id="2" w:name="_Hlk20331144"/>
      <w:r>
        <w:rPr>
          <w:rFonts w:ascii="Times New Roman" w:hAnsi="Times New Roman" w:eastAsia="宋体"/>
          <w:color w:val="242021"/>
          <w:sz w:val="26"/>
          <w:szCs w:val="26"/>
          <w:vertAlign w:val="superscript"/>
        </w:rPr>
        <w:t>1,2,</w:t>
      </w:r>
      <w:bookmarkEnd w:id="1"/>
      <w:r>
        <w:rPr>
          <w:rFonts w:hint="eastAsia" w:ascii="Times New Roman" w:hAnsi="Times New Roman" w:eastAsia="宋体"/>
          <w:color w:val="242021"/>
          <w:sz w:val="26"/>
          <w:szCs w:val="26"/>
          <w:vertAlign w:val="superscript"/>
        </w:rPr>
        <w:t>†</w:t>
      </w:r>
      <w:bookmarkEnd w:id="2"/>
      <w:r>
        <w:rPr>
          <w:rFonts w:hint="eastAsia" w:ascii="Times New Roman" w:hAnsi="Times New Roman" w:eastAsia="宋体"/>
          <w:color w:val="242021"/>
          <w:sz w:val="26"/>
          <w:szCs w:val="26"/>
        </w:rPr>
        <w:t xml:space="preserve"> </w:t>
      </w:r>
      <w:r>
        <w:rPr>
          <w:rFonts w:ascii="Times New Roman" w:hAnsi="Times New Roman" w:eastAsia="宋体"/>
          <w:i/>
          <w:iCs/>
          <w:color w:val="242021"/>
          <w:sz w:val="26"/>
          <w:szCs w:val="26"/>
        </w:rPr>
        <w:t>Yujie Yang,</w:t>
      </w:r>
      <w:r>
        <w:rPr>
          <w:rFonts w:ascii="Times New Roman" w:hAnsi="Times New Roman" w:eastAsia="宋体"/>
          <w:color w:val="242021"/>
          <w:sz w:val="26"/>
          <w:szCs w:val="26"/>
          <w:vertAlign w:val="superscript"/>
        </w:rPr>
        <w:t xml:space="preserve"> 1,2,</w:t>
      </w:r>
      <w:r>
        <w:rPr>
          <w:rFonts w:hint="eastAsia" w:ascii="Times New Roman" w:hAnsi="Times New Roman" w:eastAsia="宋体"/>
          <w:color w:val="242021"/>
          <w:sz w:val="26"/>
          <w:szCs w:val="26"/>
          <w:vertAlign w:val="superscript"/>
        </w:rPr>
        <w:t>†</w:t>
      </w:r>
      <w:r>
        <w:rPr>
          <w:rFonts w:ascii="Times New Roman" w:hAnsi="Times New Roman" w:eastAsia="宋体"/>
          <w:i/>
          <w:iCs/>
          <w:color w:val="242021"/>
          <w:sz w:val="26"/>
          <w:szCs w:val="26"/>
        </w:rPr>
        <w:t xml:space="preserve"> Mengmeng Yang,</w:t>
      </w:r>
      <w:r>
        <w:rPr>
          <w:rFonts w:ascii="Times New Roman" w:hAnsi="Times New Roman" w:eastAsia="宋体"/>
          <w:color w:val="242021"/>
          <w:sz w:val="26"/>
          <w:szCs w:val="26"/>
          <w:vertAlign w:val="superscript"/>
        </w:rPr>
        <w:t xml:space="preserve"> 1,2</w:t>
      </w:r>
      <w:r>
        <w:rPr>
          <w:rFonts w:ascii="Times New Roman" w:hAnsi="Times New Roman" w:eastAsia="宋体"/>
          <w:i/>
          <w:iCs/>
          <w:color w:val="242021"/>
          <w:sz w:val="26"/>
          <w:szCs w:val="26"/>
        </w:rPr>
        <w:t xml:space="preserve"> Dandan Yuan,</w:t>
      </w:r>
      <w:r>
        <w:rPr>
          <w:rFonts w:ascii="Times New Roman" w:hAnsi="Times New Roman" w:eastAsia="宋体"/>
          <w:color w:val="242021"/>
          <w:sz w:val="26"/>
          <w:szCs w:val="26"/>
          <w:vertAlign w:val="superscript"/>
        </w:rPr>
        <w:t>1</w:t>
      </w:r>
      <w:r>
        <w:rPr>
          <w:rFonts w:ascii="Times New Roman" w:hAnsi="Times New Roman" w:eastAsia="宋体"/>
          <w:i/>
          <w:iCs/>
          <w:color w:val="242021"/>
          <w:sz w:val="26"/>
          <w:szCs w:val="26"/>
        </w:rPr>
        <w:t xml:space="preserve"> </w:t>
      </w:r>
    </w:p>
    <w:p>
      <w:pPr>
        <w:spacing w:line="480" w:lineRule="auto"/>
        <w:rPr>
          <w:rFonts w:ascii="Times New Roman" w:hAnsi="Times New Roman" w:eastAsia="宋体"/>
          <w:i/>
          <w:iCs/>
          <w:color w:val="242021"/>
          <w:sz w:val="26"/>
          <w:szCs w:val="26"/>
        </w:rPr>
      </w:pPr>
      <w:r>
        <w:rPr>
          <w:rFonts w:ascii="Times New Roman" w:hAnsi="Times New Roman" w:eastAsia="宋体"/>
          <w:i/>
          <w:iCs/>
          <w:color w:val="242021"/>
          <w:sz w:val="26"/>
          <w:szCs w:val="26"/>
        </w:rPr>
        <w:t>Jinyu Huang,</w:t>
      </w:r>
      <w:bookmarkStart w:id="3" w:name="_Hlk20331189"/>
      <w:r>
        <w:rPr>
          <w:rFonts w:ascii="Times New Roman" w:hAnsi="Times New Roman" w:eastAsia="宋体"/>
          <w:color w:val="242021"/>
          <w:sz w:val="26"/>
          <w:szCs w:val="26"/>
          <w:vertAlign w:val="superscript"/>
        </w:rPr>
        <w:t>1,2</w:t>
      </w:r>
      <w:bookmarkEnd w:id="3"/>
      <w:r>
        <w:rPr>
          <w:rFonts w:ascii="Times New Roman" w:hAnsi="Times New Roman" w:eastAsia="宋体"/>
          <w:color w:val="242021"/>
          <w:sz w:val="26"/>
          <w:szCs w:val="26"/>
          <w:vertAlign w:val="superscript"/>
        </w:rPr>
        <w:t xml:space="preserve"> </w:t>
      </w:r>
      <w:r>
        <w:rPr>
          <w:rFonts w:ascii="Times New Roman" w:hAnsi="Times New Roman" w:eastAsia="宋体"/>
          <w:i/>
          <w:iCs/>
          <w:color w:val="242021"/>
          <w:sz w:val="26"/>
          <w:szCs w:val="26"/>
        </w:rPr>
        <w:t>Rui Chen,</w:t>
      </w:r>
      <w:r>
        <w:rPr>
          <w:rFonts w:ascii="Times New Roman" w:hAnsi="Times New Roman" w:eastAsia="宋体"/>
          <w:color w:val="242021"/>
          <w:sz w:val="26"/>
          <w:szCs w:val="26"/>
          <w:vertAlign w:val="superscript"/>
        </w:rPr>
        <w:t>1</w:t>
      </w:r>
      <w:r>
        <w:rPr>
          <w:rFonts w:ascii="Times New Roman" w:hAnsi="Times New Roman" w:eastAsia="宋体"/>
          <w:color w:val="242021"/>
          <w:sz w:val="26"/>
          <w:szCs w:val="26"/>
        </w:rPr>
        <w:t xml:space="preserve"> </w:t>
      </w:r>
      <w:r>
        <w:rPr>
          <w:rFonts w:ascii="Times New Roman" w:hAnsi="Times New Roman" w:eastAsia="宋体"/>
          <w:i/>
          <w:iCs/>
          <w:color w:val="242021"/>
          <w:sz w:val="26"/>
          <w:szCs w:val="26"/>
        </w:rPr>
        <w:t>Honglan Wang,</w:t>
      </w:r>
      <w:r>
        <w:rPr>
          <w:rFonts w:ascii="Times New Roman" w:hAnsi="Times New Roman" w:eastAsia="宋体"/>
          <w:color w:val="242021"/>
          <w:sz w:val="26"/>
          <w:szCs w:val="26"/>
          <w:vertAlign w:val="superscript"/>
        </w:rPr>
        <w:t>1,2</w:t>
      </w:r>
      <w:bookmarkStart w:id="4" w:name="_Hlk24489929"/>
      <w:r>
        <w:rPr>
          <w:rFonts w:ascii="Times New Roman" w:hAnsi="Times New Roman" w:eastAsia="宋体"/>
          <w:color w:val="242021"/>
          <w:sz w:val="26"/>
          <w:szCs w:val="26"/>
        </w:rPr>
        <w:t xml:space="preserve"> </w:t>
      </w:r>
      <w:bookmarkEnd w:id="4"/>
      <w:r>
        <w:rPr>
          <w:rFonts w:ascii="Times New Roman" w:hAnsi="Times New Roman" w:eastAsia="宋体"/>
          <w:i/>
          <w:iCs/>
          <w:color w:val="242021"/>
          <w:sz w:val="26"/>
          <w:szCs w:val="26"/>
        </w:rPr>
        <w:t>Lihong Hu,</w:t>
      </w:r>
      <w:r>
        <w:rPr>
          <w:rFonts w:ascii="Times New Roman" w:hAnsi="Times New Roman" w:eastAsia="宋体"/>
          <w:color w:val="242021"/>
          <w:sz w:val="26"/>
          <w:szCs w:val="26"/>
          <w:vertAlign w:val="superscript"/>
        </w:rPr>
        <w:t>1,3</w:t>
      </w:r>
      <w:r>
        <w:rPr>
          <w:rFonts w:ascii="Times New Roman" w:hAnsi="Times New Roman" w:eastAsia="宋体"/>
          <w:i/>
          <w:iCs/>
          <w:color w:val="242021"/>
          <w:sz w:val="26"/>
          <w:szCs w:val="26"/>
        </w:rPr>
        <w:t xml:space="preserve"> Liuqing Di,</w:t>
      </w:r>
      <w:r>
        <w:rPr>
          <w:rFonts w:ascii="Times New Roman" w:hAnsi="Times New Roman" w:eastAsia="宋体"/>
          <w:color w:val="242021"/>
          <w:sz w:val="26"/>
          <w:szCs w:val="26"/>
          <w:vertAlign w:val="superscript"/>
        </w:rPr>
        <w:t>1,2</w:t>
      </w:r>
      <w:r>
        <w:rPr>
          <w:rFonts w:ascii="Times New Roman" w:hAnsi="Times New Roman" w:eastAsia="宋体"/>
          <w:color w:val="242021"/>
          <w:sz w:val="26"/>
          <w:szCs w:val="26"/>
        </w:rPr>
        <w:t xml:space="preserve"> </w:t>
      </w:r>
      <w:r>
        <w:rPr>
          <w:rFonts w:ascii="Times New Roman" w:hAnsi="Times New Roman" w:eastAsia="宋体"/>
          <w:i/>
          <w:iCs/>
          <w:color w:val="242021"/>
          <w:sz w:val="26"/>
          <w:szCs w:val="26"/>
        </w:rPr>
        <w:t>Junsong Li,</w:t>
      </w:r>
      <w:r>
        <w:rPr>
          <w:rFonts w:ascii="Times New Roman" w:hAnsi="Times New Roman" w:eastAsia="宋体"/>
          <w:color w:val="242021"/>
          <w:sz w:val="26"/>
          <w:szCs w:val="26"/>
          <w:vertAlign w:val="superscript"/>
        </w:rPr>
        <w:t>1,2,*</w:t>
      </w:r>
    </w:p>
    <w:p>
      <w:pPr>
        <w:spacing w:line="480" w:lineRule="auto"/>
        <w:rPr>
          <w:rFonts w:ascii="Times New Roman" w:hAnsi="Times New Roman" w:eastAsia="宋体"/>
          <w:b/>
          <w:sz w:val="28"/>
          <w:szCs w:val="28"/>
        </w:rPr>
      </w:pPr>
      <w:r>
        <w:rPr>
          <w:rFonts w:ascii="Times New Roman" w:hAnsi="Times New Roman" w:eastAsia="宋体"/>
          <w:color w:val="242021"/>
          <w:sz w:val="18"/>
          <w:szCs w:val="18"/>
        </w:rPr>
        <w:br w:type="textWrapping"/>
      </w:r>
      <w:r>
        <w:rPr>
          <w:rFonts w:ascii="Times New Roman" w:hAnsi="Times New Roman" w:eastAsia="宋体"/>
          <w:color w:val="242021"/>
          <w:sz w:val="24"/>
          <w:szCs w:val="24"/>
        </w:rPr>
        <w:t>1 School of Pharmacy, Nanjing University of Chinese Medicine, Nanjing, China</w:t>
      </w:r>
      <w:r>
        <w:rPr>
          <w:rFonts w:ascii="Times New Roman" w:hAnsi="Times New Roman" w:eastAsia="宋体"/>
          <w:color w:val="242021"/>
          <w:sz w:val="24"/>
          <w:szCs w:val="24"/>
        </w:rPr>
        <w:br w:type="textWrapping"/>
      </w:r>
      <w:r>
        <w:rPr>
          <w:rFonts w:ascii="Times New Roman" w:hAnsi="Times New Roman" w:eastAsia="宋体"/>
          <w:color w:val="242021"/>
          <w:sz w:val="24"/>
          <w:szCs w:val="24"/>
        </w:rPr>
        <w:t>2 Jiangsu Engineering Research Center for Efficient Delivery System of TCM, Nanjing, China</w:t>
      </w:r>
      <w:r>
        <w:rPr>
          <w:rFonts w:ascii="Times New Roman" w:hAnsi="Times New Roman" w:eastAsia="宋体"/>
          <w:color w:val="242021"/>
          <w:sz w:val="24"/>
          <w:szCs w:val="24"/>
        </w:rPr>
        <w:br w:type="textWrapping"/>
      </w:r>
      <w:r>
        <w:rPr>
          <w:rFonts w:ascii="Times New Roman" w:hAnsi="Times New Roman" w:eastAsia="宋体"/>
          <w:color w:val="242021"/>
          <w:sz w:val="24"/>
          <w:szCs w:val="24"/>
        </w:rPr>
        <w:t>3 Jiangsu Key Laboratory for Functional Substance of Chinese Medicine, Nanjing, China</w:t>
      </w:r>
    </w:p>
    <w:p>
      <w:pPr>
        <w:spacing w:line="480" w:lineRule="auto"/>
        <w:rPr>
          <w:rFonts w:ascii="Times New Roman" w:hAnsi="Times New Roman"/>
          <w:b/>
          <w:sz w:val="28"/>
          <w:szCs w:val="28"/>
        </w:rPr>
      </w:pPr>
    </w:p>
    <w:p>
      <w:pPr>
        <w:spacing w:line="480" w:lineRule="auto"/>
        <w:rPr>
          <w:rFonts w:ascii="Times New Roman" w:hAnsi="Times New Roman"/>
          <w:b/>
          <w:sz w:val="28"/>
          <w:szCs w:val="28"/>
        </w:rPr>
      </w:pPr>
    </w:p>
    <w:p>
      <w:pPr>
        <w:spacing w:line="480" w:lineRule="auto"/>
        <w:rPr>
          <w:rFonts w:hint="eastAsia" w:ascii="Times New Roman" w:hAnsi="Times New Roman"/>
          <w:b/>
          <w:sz w:val="28"/>
          <w:szCs w:val="28"/>
        </w:rPr>
      </w:pPr>
      <w:r>
        <w:rPr>
          <w:rFonts w:hint="eastAsia" w:ascii="Times New Roman" w:hAnsi="Times New Roman" w:eastAsia="宋体"/>
          <w:color w:val="242021"/>
          <w:sz w:val="24"/>
          <w:szCs w:val="24"/>
        </w:rPr>
        <w:t xml:space="preserve">† </w:t>
      </w:r>
      <w:r>
        <w:rPr>
          <w:rFonts w:ascii="TimesNewRomanPSMT" w:hAnsi="TimesNewRomanPSMT"/>
          <w:color w:val="000000"/>
          <w:sz w:val="24"/>
          <w:szCs w:val="24"/>
        </w:rPr>
        <w:t>Contributed equally to this work.</w:t>
      </w:r>
    </w:p>
    <w:p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5" w:name="_Hlk28868315"/>
      <w:r>
        <w:rPr>
          <w:rFonts w:ascii="Times New Roman" w:hAnsi="Times New Roman" w:cs="Times New Roman"/>
          <w:color w:val="000000"/>
          <w:sz w:val="24"/>
          <w:szCs w:val="24"/>
        </w:rPr>
        <w:t xml:space="preserve">Corresponding authors: </w:t>
      </w:r>
      <w:r>
        <w:rPr>
          <w:rFonts w:ascii="Times New Roman" w:hAnsi="Times New Roman" w:eastAsia="宋体" w:cs="Times New Roman"/>
          <w:color w:val="242021"/>
          <w:sz w:val="24"/>
          <w:szCs w:val="24"/>
        </w:rPr>
        <w:t>Junsong Li</w:t>
      </w:r>
    </w:p>
    <w:p>
      <w:pPr>
        <w:spacing w:line="480" w:lineRule="auto"/>
        <w:rPr>
          <w:rFonts w:ascii="Times New Roman" w:hAnsi="Times New Roman" w:eastAsia="等线" w:cs="Times New Roman"/>
          <w:sz w:val="24"/>
          <w:lang w:val="pt-BR"/>
        </w:rPr>
      </w:pPr>
      <w:r>
        <w:rPr>
          <w:rFonts w:ascii="Times New Roman" w:hAnsi="Times New Roman" w:eastAsia="等线" w:cs="Times New Roman"/>
          <w:sz w:val="24"/>
          <w:lang w:val="pt-BR"/>
        </w:rPr>
        <w:t>E-mail: lijunsong1964@163.com</w:t>
      </w:r>
    </w:p>
    <w:p>
      <w:pPr>
        <w:spacing w:line="480" w:lineRule="auto"/>
        <w:rPr>
          <w:rFonts w:ascii="Times New Roman" w:hAnsi="Times New Roman" w:eastAsia="等线" w:cs="Times New Roman"/>
          <w:sz w:val="24"/>
        </w:rPr>
      </w:pPr>
      <w:r>
        <w:rPr>
          <w:rFonts w:ascii="Times New Roman" w:hAnsi="Times New Roman" w:eastAsia="等线" w:cs="Times New Roman"/>
          <w:sz w:val="24"/>
        </w:rPr>
        <w:t xml:space="preserve">Postal address: </w:t>
      </w:r>
      <w:r>
        <w:rPr>
          <w:rFonts w:ascii="Times New Roman" w:hAnsi="Times New Roman" w:eastAsia="GulliverRM" w:cs="Times New Roman"/>
          <w:sz w:val="24"/>
        </w:rPr>
        <w:t>School</w:t>
      </w:r>
      <w:r>
        <w:rPr>
          <w:rFonts w:ascii="Times New Roman" w:hAnsi="Times New Roman" w:eastAsia="等线" w:cs="Times New Roman"/>
          <w:sz w:val="24"/>
        </w:rPr>
        <w:t xml:space="preserve"> of Pharmacy, Nanjing University of Chinese Medicine,</w:t>
      </w:r>
      <w:r>
        <w:rPr>
          <w:rFonts w:ascii="Times New Roman" w:hAnsi="Times New Roman" w:eastAsia="等线" w:cs="Times New Roman"/>
          <w:kern w:val="0"/>
          <w:sz w:val="24"/>
        </w:rPr>
        <w:t xml:space="preserve"> 138 </w:t>
      </w:r>
      <w:r>
        <w:rPr>
          <w:rFonts w:ascii="Times New Roman" w:hAnsi="Times New Roman" w:eastAsia="等线" w:cs="Times New Roman"/>
          <w:sz w:val="24"/>
        </w:rPr>
        <w:t>Xianlin Avenue, Nanjing 210023, China</w:t>
      </w:r>
    </w:p>
    <w:bookmarkEnd w:id="5"/>
    <w:p/>
    <w:p>
      <w:pPr>
        <w:jc w:val="center"/>
      </w:pPr>
      <w:r>
        <w:drawing>
          <wp:inline distT="0" distB="0" distL="0" distR="0">
            <wp:extent cx="3752850" cy="3501390"/>
            <wp:effectExtent l="0" t="0" r="0" b="3810"/>
            <wp:docPr id="1" name="图片 1" descr="F:\写作\杨蒙蒙\待发表文章拼图\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:\写作\杨蒙蒙\待发表文章拼图\S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235" cy="351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>Fig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/>
        </w:rPr>
        <w:t>ure</w:t>
      </w: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 xml:space="preserve"> S1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/>
        </w:rPr>
        <w:t>.</w:t>
      </w:r>
      <w:bookmarkStart w:id="6" w:name="_GoBack"/>
      <w:bookmarkEnd w:id="6"/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MD simulations of the co-assembly of RHE and DOX molecules in aqueous solution during 11 ns. RHE and DOX molecules were indicated by gray ball-and-stick model: red (O), blue (N).</w:t>
      </w:r>
    </w:p>
    <w:p>
      <w:pPr>
        <w:jc w:val="center"/>
        <w:rPr>
          <w:rFonts w:ascii="Times New Roman" w:hAnsi="Times New Roman" w:eastAsia="宋体" w:cs="Times New Roman"/>
          <w:kern w:val="0"/>
          <w:sz w:val="24"/>
          <w:szCs w:val="24"/>
        </w:rPr>
      </w:pPr>
    </w:p>
    <w:p/>
    <w:p/>
    <w:p/>
    <w:p/>
    <w:p/>
    <w:p/>
    <w:p/>
    <w:p/>
    <w:p/>
    <w:p/>
    <w:p/>
    <w:p/>
    <w:p/>
    <w:p/>
    <w:p>
      <w:pPr>
        <w:jc w:val="center"/>
      </w:pPr>
      <w:r>
        <w:rPr>
          <w:rFonts w:eastAsia="宋体"/>
          <w:sz w:val="24"/>
          <w:szCs w:val="24"/>
        </w:rPr>
        <w:drawing>
          <wp:inline distT="0" distB="0" distL="0" distR="0">
            <wp:extent cx="5433060" cy="1962150"/>
            <wp:effectExtent l="0" t="0" r="0" b="0"/>
            <wp:docPr id="50" name="图片 50" descr="C:\Users\yang-\Desktop\RD NPs粒径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C:\Users\yang-\Desktop\RD NPs粒径图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25455" cy="1995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>Fig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/>
        </w:rPr>
        <w:t>ure</w:t>
      </w: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 xml:space="preserve"> S2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/>
        </w:rPr>
        <w:t>.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 The size of RD NPs.</w:t>
      </w: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line="360" w:lineRule="auto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/>
    <w:p>
      <w:pPr>
        <w:jc w:val="center"/>
      </w:pPr>
      <w:r>
        <w:rPr>
          <w:rFonts w:eastAsia="宋体"/>
          <w:sz w:val="24"/>
          <w:szCs w:val="24"/>
        </w:rPr>
        <w:drawing>
          <wp:inline distT="0" distB="0" distL="0" distR="0">
            <wp:extent cx="5173980" cy="1762125"/>
            <wp:effectExtent l="0" t="0" r="7620" b="0"/>
            <wp:docPr id="52" name="图片 52" descr="C:\Users\yang-\Desktop\RD NPs电位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C:\Users\yang-\Desktop\RD NPs电位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9337" cy="1777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spacing w:line="360" w:lineRule="auto"/>
        <w:ind w:left="420" w:firstLine="0" w:firstLineChars="0"/>
        <w:rPr>
          <w:rFonts w:eastAsia="宋体"/>
          <w:sz w:val="24"/>
          <w:szCs w:val="24"/>
        </w:rPr>
      </w:pPr>
      <w:r>
        <w:rPr>
          <w:rFonts w:eastAsia="宋体"/>
          <w:b/>
          <w:bCs/>
          <w:sz w:val="24"/>
          <w:szCs w:val="24"/>
        </w:rPr>
        <w:t>Fig</w:t>
      </w:r>
      <w:r>
        <w:rPr>
          <w:rFonts w:hint="eastAsia" w:eastAsia="宋体"/>
          <w:b/>
          <w:bCs/>
          <w:sz w:val="24"/>
          <w:szCs w:val="24"/>
          <w:lang w:val="en-US" w:eastAsia="zh-CN"/>
        </w:rPr>
        <w:t>ure</w:t>
      </w:r>
      <w:r>
        <w:rPr>
          <w:rFonts w:eastAsia="宋体"/>
          <w:b/>
          <w:bCs/>
          <w:sz w:val="24"/>
          <w:szCs w:val="24"/>
        </w:rPr>
        <w:t xml:space="preserve"> S3</w:t>
      </w:r>
      <w:r>
        <w:rPr>
          <w:rFonts w:hint="eastAsia" w:eastAsia="宋体"/>
          <w:b/>
          <w:bCs/>
          <w:sz w:val="24"/>
          <w:szCs w:val="24"/>
          <w:lang w:val="en-US" w:eastAsia="zh-CN"/>
        </w:rPr>
        <w:t>.</w:t>
      </w:r>
      <w:r>
        <w:rPr>
          <w:rFonts w:eastAsia="宋体"/>
          <w:sz w:val="24"/>
          <w:szCs w:val="24"/>
        </w:rPr>
        <w:t xml:space="preserve"> The zeta potential of RD NPs.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center"/>
      </w:pPr>
      <w:r>
        <w:rPr>
          <w:rFonts w:ascii="Times New Roman" w:hAnsi="Times New Roman" w:eastAsia="宋体" w:cs="Times New Roman"/>
          <w:kern w:val="0"/>
          <w:sz w:val="24"/>
          <w:szCs w:val="24"/>
        </w:rPr>
        <w:drawing>
          <wp:inline distT="0" distB="0" distL="0" distR="0">
            <wp:extent cx="4526280" cy="3987165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41208" cy="4000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>F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</w:rPr>
        <w:t>ig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/>
        </w:rPr>
        <w:t>ure</w:t>
      </w:r>
      <w:r>
        <w:rPr>
          <w:rFonts w:ascii="Times New Roman" w:hAnsi="Times New Roman" w:eastAsia="宋体" w:cs="Times New Roman"/>
          <w:b/>
          <w:bCs/>
          <w:kern w:val="0"/>
          <w:sz w:val="24"/>
          <w:szCs w:val="24"/>
        </w:rPr>
        <w:t xml:space="preserve"> S4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/>
        </w:rPr>
        <w:t xml:space="preserve">. 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Distribution of RHE from RHE group and RD NPs group in each tissue at 12 h (A) and 24 h (B) post injection. Distribution of DOX from DOX group and RD NPs group in each tissue at 12 h (C) and 24 h (D) post injection.</w:t>
      </w:r>
    </w:p>
    <w:p>
      <w:pPr>
        <w:adjustRightInd w:val="0"/>
        <w:spacing w:before="156" w:beforeLines="50" w:line="360" w:lineRule="auto"/>
        <w:jc w:val="left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before="156" w:beforeLines="50" w:line="360" w:lineRule="auto"/>
        <w:jc w:val="left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before="156" w:beforeLines="50" w:line="360" w:lineRule="auto"/>
        <w:jc w:val="left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before="156" w:beforeLines="50" w:line="360" w:lineRule="auto"/>
        <w:jc w:val="left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before="156" w:beforeLines="50" w:line="360" w:lineRule="auto"/>
        <w:jc w:val="left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before="156" w:beforeLines="50" w:line="360" w:lineRule="auto"/>
        <w:jc w:val="left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before="156" w:beforeLines="50" w:line="360" w:lineRule="auto"/>
        <w:jc w:val="left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before="156" w:beforeLines="50" w:line="360" w:lineRule="auto"/>
        <w:jc w:val="left"/>
        <w:textAlignment w:val="baseline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djustRightInd w:val="0"/>
        <w:spacing w:before="156" w:beforeLines="50" w:line="360" w:lineRule="auto"/>
        <w:textAlignment w:val="baseline"/>
        <w:rPr>
          <w:rFonts w:ascii="Times New Roman" w:hAnsi="Times New Roman" w:eastAsia="宋体" w:cs="Times New Roman"/>
          <w:kern w:val="0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GulliverRM">
    <w:altName w:val="宋体"/>
    <w:panose1 w:val="00000000000000000000"/>
    <w:charset w:val="86"/>
    <w:family w:val="auto"/>
    <w:pitch w:val="default"/>
    <w:sig w:usb0="00000000" w:usb1="00000000" w:usb2="00000010" w:usb3="00000000" w:csb0="001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03070512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719"/>
    <w:rsid w:val="000219E6"/>
    <w:rsid w:val="000550D1"/>
    <w:rsid w:val="00093E9F"/>
    <w:rsid w:val="000E5B3D"/>
    <w:rsid w:val="00131A9B"/>
    <w:rsid w:val="00163519"/>
    <w:rsid w:val="0017596E"/>
    <w:rsid w:val="001B16D0"/>
    <w:rsid w:val="001C08C3"/>
    <w:rsid w:val="001D5560"/>
    <w:rsid w:val="00260852"/>
    <w:rsid w:val="00270BE1"/>
    <w:rsid w:val="00285F19"/>
    <w:rsid w:val="00320852"/>
    <w:rsid w:val="00330F98"/>
    <w:rsid w:val="0038016C"/>
    <w:rsid w:val="00386D45"/>
    <w:rsid w:val="00387624"/>
    <w:rsid w:val="003B4E1B"/>
    <w:rsid w:val="003F4D4E"/>
    <w:rsid w:val="004E7C4B"/>
    <w:rsid w:val="00516C11"/>
    <w:rsid w:val="005826B8"/>
    <w:rsid w:val="005B7E46"/>
    <w:rsid w:val="00645AA5"/>
    <w:rsid w:val="00676E48"/>
    <w:rsid w:val="00692585"/>
    <w:rsid w:val="00692A65"/>
    <w:rsid w:val="006E11ED"/>
    <w:rsid w:val="00771A74"/>
    <w:rsid w:val="007761BE"/>
    <w:rsid w:val="00783E61"/>
    <w:rsid w:val="00787D98"/>
    <w:rsid w:val="007F69E0"/>
    <w:rsid w:val="0080442A"/>
    <w:rsid w:val="00843508"/>
    <w:rsid w:val="00894C29"/>
    <w:rsid w:val="008A1481"/>
    <w:rsid w:val="008D26C0"/>
    <w:rsid w:val="008D7100"/>
    <w:rsid w:val="008E4215"/>
    <w:rsid w:val="008F1700"/>
    <w:rsid w:val="009843EC"/>
    <w:rsid w:val="009A383F"/>
    <w:rsid w:val="00A1286F"/>
    <w:rsid w:val="00A32ABF"/>
    <w:rsid w:val="00A55537"/>
    <w:rsid w:val="00AE29F5"/>
    <w:rsid w:val="00AE5719"/>
    <w:rsid w:val="00B5112E"/>
    <w:rsid w:val="00B63297"/>
    <w:rsid w:val="00B90151"/>
    <w:rsid w:val="00C2663C"/>
    <w:rsid w:val="00C37C96"/>
    <w:rsid w:val="00C455E1"/>
    <w:rsid w:val="00C50E2E"/>
    <w:rsid w:val="00C7651A"/>
    <w:rsid w:val="00D432B1"/>
    <w:rsid w:val="00D86981"/>
    <w:rsid w:val="00DD0E70"/>
    <w:rsid w:val="00DD5C1F"/>
    <w:rsid w:val="00DF7F74"/>
    <w:rsid w:val="00E047BC"/>
    <w:rsid w:val="00E25FA7"/>
    <w:rsid w:val="00E55F6F"/>
    <w:rsid w:val="00E906E4"/>
    <w:rsid w:val="00EA36CC"/>
    <w:rsid w:val="00EB5362"/>
    <w:rsid w:val="00EC6E15"/>
    <w:rsid w:val="00ED667B"/>
    <w:rsid w:val="00EE115E"/>
    <w:rsid w:val="00F021D8"/>
    <w:rsid w:val="00F32704"/>
    <w:rsid w:val="00F51872"/>
    <w:rsid w:val="00F66D90"/>
    <w:rsid w:val="00FA4328"/>
    <w:rsid w:val="00FC182F"/>
    <w:rsid w:val="00FC22D0"/>
    <w:rsid w:val="00FD5937"/>
    <w:rsid w:val="00FE3AC7"/>
    <w:rsid w:val="1803505A"/>
    <w:rsid w:val="27137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adjustRightInd w:val="0"/>
      <w:spacing w:line="360" w:lineRule="atLeast"/>
      <w:ind w:firstLine="420" w:firstLineChars="200"/>
      <w:textAlignment w:val="baseline"/>
    </w:pPr>
    <w:rPr>
      <w:rFonts w:ascii="Times New Roman" w:hAnsi="Times New Roman" w:eastAsia="Times New Roman" w:cs="Times New Roman"/>
      <w:kern w:val="0"/>
      <w:sz w:val="20"/>
      <w:szCs w:val="20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批注文字 字符"/>
    <w:basedOn w:val="9"/>
    <w:link w:val="2"/>
    <w:semiHidden/>
    <w:qFormat/>
    <w:uiPriority w:val="99"/>
  </w:style>
  <w:style w:type="character" w:customStyle="1" w:styleId="16">
    <w:name w:val="批注主题 字符"/>
    <w:basedOn w:val="15"/>
    <w:link w:val="6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199</Words>
  <Characters>1138</Characters>
  <Lines>9</Lines>
  <Paragraphs>2</Paragraphs>
  <TotalTime>95</TotalTime>
  <ScaleCrop>false</ScaleCrop>
  <LinksUpToDate>false</LinksUpToDate>
  <CharactersWithSpaces>1335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2019-04-24T04:18:00Z</dcterms:created>
  <dc:creator>杨 蒙蒙</dc:creator>
  <cp:lastModifiedBy>杨</cp:lastModifiedBy>
  <dcterms:modified xsi:type="dcterms:W3CDTF">2020-02-25T09:56:36Z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